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BEFD8C" w14:textId="2192EF6F" w:rsidR="00C801B2" w:rsidRDefault="00DB76CB">
      <w:pPr>
        <w:pStyle w:val="Heading1"/>
      </w:pPr>
      <w:r w:rsidRPr="00DB76CB">
        <w:t xml:space="preserve">Nutrition Incentive </w:t>
      </w:r>
      <w:r w:rsidR="000239D4" w:rsidRPr="00DB76CB">
        <w:t>Pro</w:t>
      </w:r>
      <w:r w:rsidR="000239D4">
        <w:t>jects</w:t>
      </w:r>
    </w:p>
    <w:p w14:paraId="7DE4B3BD" w14:textId="00003175" w:rsidR="00C801B2" w:rsidRDefault="00DB76CB">
      <w:pPr>
        <w:pStyle w:val="Heading2"/>
      </w:pPr>
      <w:r w:rsidRPr="00DB76CB">
        <w:t>R</w:t>
      </w:r>
      <w:r>
        <w:t>efund</w:t>
      </w:r>
      <w:r w:rsidRPr="00DB76CB">
        <w:t xml:space="preserve"> P</w:t>
      </w:r>
      <w:r>
        <w:t>olicy</w:t>
      </w:r>
      <w:r w:rsidRPr="00DB76CB">
        <w:t xml:space="preserve"> </w:t>
      </w:r>
      <w:r>
        <w:t>for</w:t>
      </w:r>
      <w:r w:rsidRPr="00DB76CB">
        <w:t xml:space="preserve"> SNAP </w:t>
      </w:r>
      <w:r>
        <w:t>and</w:t>
      </w:r>
      <w:r w:rsidRPr="00DB76CB">
        <w:t xml:space="preserve"> T</w:t>
      </w:r>
      <w:r>
        <w:t>oken</w:t>
      </w:r>
      <w:r w:rsidRPr="00DB76CB">
        <w:t xml:space="preserve"> P</w:t>
      </w:r>
      <w:r>
        <w:t>urchases</w:t>
      </w:r>
    </w:p>
    <w:p w14:paraId="4E25B5DE" w14:textId="6FE9D739" w:rsidR="00DB76CB" w:rsidRPr="00DB76CB" w:rsidRDefault="00DB76CB" w:rsidP="00DB76CB">
      <w:pPr>
        <w:pBdr>
          <w:top w:val="nil"/>
          <w:left w:val="nil"/>
          <w:bottom w:val="nil"/>
          <w:right w:val="nil"/>
          <w:between w:val="nil"/>
        </w:pBdr>
      </w:pPr>
      <w:bookmarkStart w:id="0" w:name="_heading=h.gjdgxs" w:colFirst="0" w:colLast="0"/>
      <w:bookmarkEnd w:id="0"/>
      <w:r w:rsidRPr="00DB76CB">
        <w:t xml:space="preserve">If a customer requests a refund of unspent Supplemental Nutrition Assistance Program </w:t>
      </w:r>
      <w:r>
        <w:t>(</w:t>
      </w:r>
      <w:r w:rsidRPr="00DB76CB">
        <w:t>SNAP</w:t>
      </w:r>
      <w:r>
        <w:t>)</w:t>
      </w:r>
      <w:r w:rsidRPr="00DB76CB">
        <w:t xml:space="preserve"> currency, first make sure the customer understands they can bring the currency back to spend another market day. Clarify that the currency does not have an expiration date and help them understand the length of your market season and their opportunities to use the currency later.</w:t>
      </w:r>
    </w:p>
    <w:p w14:paraId="31DE6F67" w14:textId="77777777" w:rsidR="00DB76CB" w:rsidRDefault="00DB76CB" w:rsidP="00DB76CB">
      <w:pPr>
        <w:pBdr>
          <w:top w:val="nil"/>
          <w:left w:val="nil"/>
          <w:bottom w:val="nil"/>
          <w:right w:val="nil"/>
          <w:between w:val="nil"/>
        </w:pBdr>
      </w:pPr>
    </w:p>
    <w:p w14:paraId="17BEF136" w14:textId="22760CF4" w:rsidR="00DB76CB" w:rsidRDefault="00DB76CB" w:rsidP="00DB76CB">
      <w:pPr>
        <w:pBdr>
          <w:top w:val="nil"/>
          <w:left w:val="nil"/>
          <w:bottom w:val="nil"/>
          <w:right w:val="nil"/>
          <w:between w:val="nil"/>
        </w:pBdr>
      </w:pPr>
      <w:r w:rsidRPr="00DB76CB">
        <w:t xml:space="preserve">If they still want to return unspent SNAP currency to have benefits credited back to their account, according to </w:t>
      </w:r>
      <w:r>
        <w:t xml:space="preserve">the </w:t>
      </w:r>
      <w:r w:rsidRPr="00DB76CB">
        <w:t>Food and Nutrition Service, U.S. Department of Food &amp; Agriculture program rules, the market is required to complete the refund. In order to complete the SNAP return, the following conditions must be met:</w:t>
      </w:r>
    </w:p>
    <w:p w14:paraId="091B1584" w14:textId="77777777" w:rsidR="00DB76CB" w:rsidRPr="00DB76CB" w:rsidRDefault="00DB76CB" w:rsidP="00DB76CB">
      <w:pPr>
        <w:pBdr>
          <w:top w:val="nil"/>
          <w:left w:val="nil"/>
          <w:bottom w:val="nil"/>
          <w:right w:val="nil"/>
          <w:between w:val="nil"/>
        </w:pBdr>
      </w:pPr>
    </w:p>
    <w:p w14:paraId="13386176" w14:textId="6D44F077" w:rsidR="00DB76CB" w:rsidRPr="00201A34" w:rsidRDefault="00DB76CB" w:rsidP="00DB76CB">
      <w:pPr>
        <w:numPr>
          <w:ilvl w:val="0"/>
          <w:numId w:val="2"/>
        </w:numPr>
        <w:pBdr>
          <w:top w:val="nil"/>
          <w:left w:val="nil"/>
          <w:bottom w:val="nil"/>
          <w:right w:val="nil"/>
          <w:between w:val="nil"/>
        </w:pBdr>
        <w:rPr>
          <w:color w:val="474C55" w:themeColor="text2"/>
        </w:rPr>
      </w:pPr>
      <w:r w:rsidRPr="00201A34">
        <w:rPr>
          <w:color w:val="474C55" w:themeColor="text2"/>
        </w:rPr>
        <w:t>The SNAP currency being returned must be issued from the market where the refund is being requested</w:t>
      </w:r>
      <w:r>
        <w:rPr>
          <w:color w:val="474C55" w:themeColor="text2"/>
        </w:rPr>
        <w:t>.</w:t>
      </w:r>
    </w:p>
    <w:p w14:paraId="74FFB239" w14:textId="77777777" w:rsidR="00DB76CB" w:rsidRPr="00201A34" w:rsidRDefault="00DB76CB" w:rsidP="00DB76CB">
      <w:pPr>
        <w:numPr>
          <w:ilvl w:val="0"/>
          <w:numId w:val="2"/>
        </w:numPr>
        <w:pBdr>
          <w:top w:val="nil"/>
          <w:left w:val="nil"/>
          <w:bottom w:val="nil"/>
          <w:right w:val="nil"/>
          <w:between w:val="nil"/>
        </w:pBdr>
        <w:rPr>
          <w:color w:val="474C55" w:themeColor="text2"/>
        </w:rPr>
      </w:pPr>
      <w:r w:rsidRPr="00201A34">
        <w:rPr>
          <w:color w:val="474C55" w:themeColor="text2"/>
        </w:rPr>
        <w:t>The refund can only be requested on the same day the original purchase of SNAP currency was made.</w:t>
      </w:r>
    </w:p>
    <w:p w14:paraId="1065240E" w14:textId="77777777" w:rsidR="00DB76CB" w:rsidRPr="00201A34" w:rsidRDefault="00DB76CB" w:rsidP="00DB76CB">
      <w:pPr>
        <w:numPr>
          <w:ilvl w:val="0"/>
          <w:numId w:val="2"/>
        </w:numPr>
        <w:pBdr>
          <w:top w:val="nil"/>
          <w:left w:val="nil"/>
          <w:bottom w:val="nil"/>
          <w:right w:val="nil"/>
          <w:between w:val="nil"/>
        </w:pBdr>
        <w:rPr>
          <w:color w:val="474C55" w:themeColor="text2"/>
        </w:rPr>
      </w:pPr>
      <w:r w:rsidRPr="00201A34">
        <w:rPr>
          <w:color w:val="474C55" w:themeColor="text2"/>
        </w:rPr>
        <w:t>The requested refund can only be for an amount equal to, or less than, the original purchase.</w:t>
      </w:r>
    </w:p>
    <w:p w14:paraId="5849DBF5" w14:textId="77777777" w:rsidR="00DB76CB" w:rsidRDefault="00DB76CB" w:rsidP="00DB76CB">
      <w:pPr>
        <w:pBdr>
          <w:top w:val="nil"/>
          <w:left w:val="nil"/>
          <w:bottom w:val="nil"/>
          <w:right w:val="nil"/>
          <w:between w:val="nil"/>
        </w:pBdr>
      </w:pPr>
    </w:p>
    <w:p w14:paraId="1324DD91" w14:textId="6966A034" w:rsidR="00DB76CB" w:rsidRPr="00DB76CB" w:rsidRDefault="00DB76CB" w:rsidP="00DB76CB">
      <w:pPr>
        <w:pBdr>
          <w:top w:val="nil"/>
          <w:left w:val="nil"/>
          <w:bottom w:val="nil"/>
          <w:right w:val="nil"/>
          <w:between w:val="nil"/>
        </w:pBdr>
      </w:pPr>
      <w:r w:rsidRPr="00DB76CB">
        <w:t>These rules apply because the return must be completed on the same point-of-sale device as the original purchase was made</w:t>
      </w:r>
      <w:r>
        <w:t>,</w:t>
      </w:r>
      <w:r w:rsidRPr="00DB76CB">
        <w:t xml:space="preserve"> and the return must be completed in the same “batch” as the purchase transaction. These are common rules of </w:t>
      </w:r>
      <w:r w:rsidR="00730998" w:rsidRPr="00730998">
        <w:t xml:space="preserve">Electronic Benefits Transfer </w:t>
      </w:r>
      <w:r w:rsidR="00730998">
        <w:t>(</w:t>
      </w:r>
      <w:r w:rsidRPr="00DB76CB">
        <w:t>EBT</w:t>
      </w:r>
      <w:r w:rsidR="00730998">
        <w:t>)</w:t>
      </w:r>
      <w:r w:rsidRPr="00DB76CB">
        <w:t xml:space="preserve"> processing companies.</w:t>
      </w:r>
    </w:p>
    <w:p w14:paraId="16BBA1D0" w14:textId="77777777" w:rsidR="00DB76CB" w:rsidRDefault="00DB76CB" w:rsidP="00DB76CB">
      <w:pPr>
        <w:pBdr>
          <w:top w:val="nil"/>
          <w:left w:val="nil"/>
          <w:bottom w:val="nil"/>
          <w:right w:val="nil"/>
          <w:between w:val="nil"/>
        </w:pBdr>
      </w:pPr>
    </w:p>
    <w:p w14:paraId="49D04A8A" w14:textId="25DBB001" w:rsidR="00C801B2" w:rsidRPr="00316780" w:rsidRDefault="00DB76CB" w:rsidP="00DB76CB">
      <w:pPr>
        <w:pBdr>
          <w:top w:val="nil"/>
          <w:left w:val="nil"/>
          <w:bottom w:val="nil"/>
          <w:right w:val="nil"/>
          <w:between w:val="nil"/>
        </w:pBdr>
      </w:pPr>
      <w:r w:rsidRPr="00DB76CB">
        <w:t xml:space="preserve">To conduct a refund, follow the prompts on your point-of-sale device to perform a “SNAP Return” and collect the SNAP currency from the customer. Find the original transaction on the Customer Record Sheet and note that a SNAP refund was given and the amount of the refund. When completing your </w:t>
      </w:r>
      <w:r w:rsidRPr="00730998">
        <w:rPr>
          <w:color w:val="419F68" w:themeColor="accent2"/>
        </w:rPr>
        <w:t xml:space="preserve">[your </w:t>
      </w:r>
      <w:r w:rsidR="00E6021D" w:rsidRPr="00730998">
        <w:rPr>
          <w:color w:val="419F68" w:themeColor="accent2"/>
        </w:rPr>
        <w:t>pro</w:t>
      </w:r>
      <w:r w:rsidR="00E6021D">
        <w:rPr>
          <w:color w:val="419F68" w:themeColor="accent2"/>
        </w:rPr>
        <w:t>ject</w:t>
      </w:r>
      <w:r w:rsidR="00E6021D" w:rsidRPr="00730998">
        <w:rPr>
          <w:color w:val="419F68" w:themeColor="accent2"/>
        </w:rPr>
        <w:t xml:space="preserve"> </w:t>
      </w:r>
      <w:r w:rsidRPr="00730998">
        <w:rPr>
          <w:color w:val="419F68" w:themeColor="accent2"/>
        </w:rPr>
        <w:t>name]</w:t>
      </w:r>
      <w:r w:rsidRPr="00DB76CB">
        <w:t xml:space="preserve"> report, only report the amount of SNAP not returned by the customer towards your total SNAP distributed that month.</w:t>
      </w:r>
    </w:p>
    <w:p w14:paraId="56C86F84" w14:textId="77777777" w:rsidR="00C801B2" w:rsidRDefault="00C801B2">
      <w:pPr>
        <w:pStyle w:val="Heading3"/>
      </w:pPr>
    </w:p>
    <w:p w14:paraId="626AFD8F" w14:textId="1961C2AC" w:rsidR="00C801B2" w:rsidRDefault="00DB76CB">
      <w:pPr>
        <w:pStyle w:val="Heading3"/>
      </w:pPr>
      <w:r w:rsidRPr="00DB76CB">
        <w:t>How to handle the Nutrition Incentive portion of a SNAP Refund</w:t>
      </w:r>
    </w:p>
    <w:p w14:paraId="671FD7B2" w14:textId="24DCF899" w:rsidR="00DB76CB" w:rsidRPr="00DB76CB" w:rsidRDefault="00DB76CB" w:rsidP="00DB76CB">
      <w:pPr>
        <w:pBdr>
          <w:top w:val="nil"/>
          <w:left w:val="nil"/>
          <w:bottom w:val="nil"/>
          <w:right w:val="nil"/>
          <w:between w:val="nil"/>
        </w:pBdr>
      </w:pPr>
      <w:r w:rsidRPr="00DB76CB">
        <w:t xml:space="preserve">If the customer has not already spent the </w:t>
      </w:r>
      <w:r w:rsidRPr="00DB76CB">
        <w:rPr>
          <w:color w:val="419F68" w:themeColor="accent2"/>
        </w:rPr>
        <w:t xml:space="preserve">[your </w:t>
      </w:r>
      <w:r w:rsidR="00E6021D" w:rsidRPr="00DB76CB">
        <w:rPr>
          <w:color w:val="419F68" w:themeColor="accent2"/>
        </w:rPr>
        <w:t>pro</w:t>
      </w:r>
      <w:r w:rsidR="00E6021D">
        <w:rPr>
          <w:color w:val="419F68" w:themeColor="accent2"/>
        </w:rPr>
        <w:t>ject</w:t>
      </w:r>
      <w:r w:rsidR="00E6021D" w:rsidRPr="00DB76CB">
        <w:rPr>
          <w:color w:val="419F68" w:themeColor="accent2"/>
        </w:rPr>
        <w:t xml:space="preserve"> </w:t>
      </w:r>
      <w:r w:rsidRPr="00DB76CB">
        <w:rPr>
          <w:color w:val="419F68" w:themeColor="accent2"/>
        </w:rPr>
        <w:t>name] [your scrip]</w:t>
      </w:r>
      <w:r w:rsidRPr="00DB76CB">
        <w:t xml:space="preserve">, request that they also return an equal value of </w:t>
      </w:r>
      <w:r w:rsidRPr="00DB76CB">
        <w:rPr>
          <w:color w:val="419F68" w:themeColor="accent2"/>
        </w:rPr>
        <w:t>[your pro</w:t>
      </w:r>
      <w:r w:rsidR="00E6021D">
        <w:rPr>
          <w:color w:val="419F68" w:themeColor="accent2"/>
        </w:rPr>
        <w:t>ject</w:t>
      </w:r>
      <w:r w:rsidRPr="00DB76CB">
        <w:rPr>
          <w:color w:val="419F68" w:themeColor="accent2"/>
        </w:rPr>
        <w:t xml:space="preserve"> name] [your scrip]</w:t>
      </w:r>
      <w:r w:rsidRPr="00DB76CB">
        <w:t xml:space="preserve"> when making a SNAP return. First-time </w:t>
      </w:r>
      <w:r w:rsidRPr="00201A34">
        <w:rPr>
          <w:color w:val="419F68" w:themeColor="accent2"/>
        </w:rPr>
        <w:t>[your pro</w:t>
      </w:r>
      <w:r w:rsidR="00E6021D">
        <w:rPr>
          <w:color w:val="419F68" w:themeColor="accent2"/>
        </w:rPr>
        <w:t>ject</w:t>
      </w:r>
      <w:r w:rsidRPr="00201A34">
        <w:rPr>
          <w:color w:val="419F68" w:themeColor="accent2"/>
        </w:rPr>
        <w:t xml:space="preserve"> name]</w:t>
      </w:r>
      <w:r w:rsidRPr="00DB76CB">
        <w:t xml:space="preserve"> users often simply overestimate how many </w:t>
      </w:r>
      <w:r w:rsidRPr="00201A34">
        <w:rPr>
          <w:color w:val="419F68" w:themeColor="accent2"/>
        </w:rPr>
        <w:t>[your scrip]</w:t>
      </w:r>
      <w:r w:rsidRPr="00DB76CB">
        <w:t xml:space="preserve"> they need and will only ask for a SNAP refund once. </w:t>
      </w:r>
    </w:p>
    <w:p w14:paraId="7EB095FC" w14:textId="77777777" w:rsidR="00DB76CB" w:rsidRDefault="00DB76CB" w:rsidP="00DB76CB">
      <w:pPr>
        <w:pBdr>
          <w:top w:val="nil"/>
          <w:left w:val="nil"/>
          <w:bottom w:val="nil"/>
          <w:right w:val="nil"/>
          <w:between w:val="nil"/>
        </w:pBdr>
      </w:pPr>
    </w:p>
    <w:p w14:paraId="4BA2A4A6" w14:textId="3EE3B95B" w:rsidR="00DB76CB" w:rsidRPr="00DB76CB" w:rsidRDefault="00DB76CB" w:rsidP="00DB76CB">
      <w:pPr>
        <w:pBdr>
          <w:top w:val="nil"/>
          <w:left w:val="nil"/>
          <w:bottom w:val="nil"/>
          <w:right w:val="nil"/>
          <w:between w:val="nil"/>
        </w:pBdr>
      </w:pPr>
      <w:r w:rsidRPr="00DB76CB">
        <w:t xml:space="preserve">If the customer has already spent the </w:t>
      </w:r>
      <w:r w:rsidRPr="00DB76CB">
        <w:rPr>
          <w:color w:val="419F68" w:themeColor="accent2"/>
        </w:rPr>
        <w:t>[your pro</w:t>
      </w:r>
      <w:r w:rsidR="00E6021D">
        <w:rPr>
          <w:color w:val="419F68" w:themeColor="accent2"/>
        </w:rPr>
        <w:t>ject</w:t>
      </w:r>
      <w:r w:rsidRPr="00DB76CB">
        <w:rPr>
          <w:color w:val="419F68" w:themeColor="accent2"/>
        </w:rPr>
        <w:t xml:space="preserve"> name] [your scrip]</w:t>
      </w:r>
      <w:r w:rsidRPr="00DB76CB">
        <w:t xml:space="preserve">, remind them of the intent of the </w:t>
      </w:r>
      <w:r w:rsidR="000239D4" w:rsidRPr="00DB76CB">
        <w:t>pro</w:t>
      </w:r>
      <w:r w:rsidR="000239D4">
        <w:t>ject</w:t>
      </w:r>
      <w:r w:rsidR="000239D4" w:rsidRPr="00DB76CB">
        <w:t xml:space="preserve"> </w:t>
      </w:r>
      <w:r w:rsidRPr="00DB76CB">
        <w:t xml:space="preserve">and coach them on how they can better estimate the amount they will need to take off their SNAP card next time they shop the market. Suggestions like making a shopping list and/or walking the market to determine what they would like to spend and approximately how much the items will cost are both good practices to help customers estimate the amount of currency they need. Remember that the intent of the </w:t>
      </w:r>
      <w:r w:rsidR="000239D4" w:rsidRPr="00DB76CB">
        <w:t>pro</w:t>
      </w:r>
      <w:r w:rsidR="000239D4">
        <w:t>ject</w:t>
      </w:r>
      <w:r w:rsidR="000239D4" w:rsidRPr="00DB76CB">
        <w:t xml:space="preserve"> </w:t>
      </w:r>
      <w:r w:rsidRPr="00DB76CB">
        <w:t xml:space="preserve">is to </w:t>
      </w:r>
      <w:r w:rsidRPr="00DB76CB">
        <w:rPr>
          <w:b/>
        </w:rPr>
        <w:t xml:space="preserve">incentivize </w:t>
      </w:r>
      <w:r w:rsidRPr="00DB76CB">
        <w:t>SNAP purchases at farmers markets.</w:t>
      </w:r>
    </w:p>
    <w:p w14:paraId="39935E1B" w14:textId="77777777" w:rsidR="00DB76CB" w:rsidRPr="00DB76CB" w:rsidRDefault="00DB76CB" w:rsidP="00DB76CB">
      <w:pPr>
        <w:pBdr>
          <w:top w:val="nil"/>
          <w:left w:val="nil"/>
          <w:bottom w:val="nil"/>
          <w:right w:val="nil"/>
          <w:between w:val="nil"/>
        </w:pBdr>
      </w:pPr>
    </w:p>
    <w:p w14:paraId="658DF791" w14:textId="75877A2F" w:rsidR="00DB76CB" w:rsidRPr="00DB76CB" w:rsidRDefault="00DB76CB" w:rsidP="00DB76CB">
      <w:pPr>
        <w:pBdr>
          <w:top w:val="nil"/>
          <w:left w:val="nil"/>
          <w:bottom w:val="nil"/>
          <w:right w:val="nil"/>
          <w:between w:val="nil"/>
        </w:pBdr>
      </w:pPr>
      <w:r w:rsidRPr="00DB76CB">
        <w:t xml:space="preserve">If you notice that a customer you have previously coached continues to request SNAP returns after they have already spent the </w:t>
      </w:r>
      <w:r w:rsidRPr="00DB76CB">
        <w:rPr>
          <w:color w:val="419F68" w:themeColor="accent2"/>
        </w:rPr>
        <w:t>[your pro</w:t>
      </w:r>
      <w:r w:rsidR="00E6021D">
        <w:rPr>
          <w:color w:val="419F68" w:themeColor="accent2"/>
        </w:rPr>
        <w:t>ject</w:t>
      </w:r>
      <w:r w:rsidRPr="00DB76CB">
        <w:rPr>
          <w:color w:val="419F68" w:themeColor="accent2"/>
        </w:rPr>
        <w:t xml:space="preserve"> name]</w:t>
      </w:r>
      <w:r w:rsidR="00730998">
        <w:rPr>
          <w:color w:val="419F68" w:themeColor="accent2"/>
        </w:rPr>
        <w:t xml:space="preserve"> [your scrip]</w:t>
      </w:r>
      <w:r w:rsidRPr="00DB76CB">
        <w:t xml:space="preserve">, you should be cautious. If this happens more than twice, inform the customer they will not be eligible to receive </w:t>
      </w:r>
      <w:r w:rsidRPr="00DB76CB">
        <w:rPr>
          <w:color w:val="419F68" w:themeColor="accent2"/>
        </w:rPr>
        <w:t>[your pro</w:t>
      </w:r>
      <w:r w:rsidR="00E6021D">
        <w:rPr>
          <w:color w:val="419F68" w:themeColor="accent2"/>
        </w:rPr>
        <w:t>ject</w:t>
      </w:r>
      <w:r w:rsidRPr="00DB76CB">
        <w:rPr>
          <w:color w:val="419F68" w:themeColor="accent2"/>
        </w:rPr>
        <w:t xml:space="preserve"> name] [your scrip]</w:t>
      </w:r>
      <w:r w:rsidRPr="00DB76CB">
        <w:t xml:space="preserve"> in the future unless they return an equal amount of </w:t>
      </w:r>
      <w:r w:rsidRPr="00DB76CB">
        <w:rPr>
          <w:color w:val="419F68" w:themeColor="accent2"/>
        </w:rPr>
        <w:t>[your pro</w:t>
      </w:r>
      <w:r w:rsidR="00E6021D">
        <w:rPr>
          <w:color w:val="419F68" w:themeColor="accent2"/>
        </w:rPr>
        <w:t>ject</w:t>
      </w:r>
      <w:r w:rsidRPr="00DB76CB">
        <w:rPr>
          <w:color w:val="419F68" w:themeColor="accent2"/>
        </w:rPr>
        <w:t xml:space="preserve"> name] [your scrip]</w:t>
      </w:r>
      <w:r w:rsidRPr="00DB76CB">
        <w:t xml:space="preserve"> along with the unspent SNAP currency. During the third SNAP return, if the customer refuses to return the </w:t>
      </w:r>
      <w:r w:rsidRPr="00DB76CB">
        <w:rPr>
          <w:color w:val="419F68" w:themeColor="accent2"/>
        </w:rPr>
        <w:t>[your scrip]</w:t>
      </w:r>
      <w:r w:rsidRPr="00DB76CB">
        <w:t xml:space="preserve">, take note of the name on the card and the last 4 digits of the card number (never record the full card number). Make a note of this information in your records and inform the customer they are no longer eligible to receive </w:t>
      </w:r>
      <w:r w:rsidRPr="00DB76CB">
        <w:rPr>
          <w:color w:val="419F68" w:themeColor="accent2"/>
        </w:rPr>
        <w:t>[your pro</w:t>
      </w:r>
      <w:r w:rsidR="00E6021D">
        <w:rPr>
          <w:color w:val="419F68" w:themeColor="accent2"/>
        </w:rPr>
        <w:t>ject</w:t>
      </w:r>
      <w:r w:rsidRPr="00DB76CB">
        <w:rPr>
          <w:color w:val="419F68" w:themeColor="accent2"/>
        </w:rPr>
        <w:t xml:space="preserve"> name] </w:t>
      </w:r>
      <w:r w:rsidRPr="00DB76CB">
        <w:t xml:space="preserve">at your market. </w:t>
      </w:r>
    </w:p>
    <w:p w14:paraId="15B44585" w14:textId="77777777" w:rsidR="00DB76CB" w:rsidRDefault="00DB76CB" w:rsidP="00DB76CB">
      <w:pPr>
        <w:pBdr>
          <w:top w:val="nil"/>
          <w:left w:val="nil"/>
          <w:bottom w:val="nil"/>
          <w:right w:val="nil"/>
          <w:between w:val="nil"/>
        </w:pBdr>
      </w:pPr>
    </w:p>
    <w:p w14:paraId="125F53A4" w14:textId="696746CC" w:rsidR="00DB76CB" w:rsidRPr="00DB76CB" w:rsidRDefault="00DB76CB" w:rsidP="00DB76CB">
      <w:pPr>
        <w:pBdr>
          <w:top w:val="nil"/>
          <w:left w:val="nil"/>
          <w:bottom w:val="nil"/>
          <w:right w:val="nil"/>
          <w:between w:val="nil"/>
        </w:pBdr>
      </w:pPr>
      <w:r w:rsidRPr="00DB76CB">
        <w:t xml:space="preserve">Do your best to enforce this by watching for that customer again. It’s important to keep in mind that a customer is always eligible to use their SNAP card at your market, regardless of their eligibility to participate in </w:t>
      </w:r>
      <w:r w:rsidRPr="00730998">
        <w:rPr>
          <w:color w:val="419F68" w:themeColor="accent2"/>
        </w:rPr>
        <w:t>[your pro</w:t>
      </w:r>
      <w:r w:rsidR="00E6021D">
        <w:rPr>
          <w:color w:val="419F68" w:themeColor="accent2"/>
        </w:rPr>
        <w:t>ject</w:t>
      </w:r>
      <w:r w:rsidRPr="00730998">
        <w:rPr>
          <w:color w:val="419F68" w:themeColor="accent2"/>
        </w:rPr>
        <w:t xml:space="preserve"> name]</w:t>
      </w:r>
      <w:r w:rsidRPr="00DB76CB">
        <w:t>.</w:t>
      </w:r>
    </w:p>
    <w:p w14:paraId="6B3E7DB7" w14:textId="77777777" w:rsidR="00DB76CB" w:rsidRDefault="00DB76CB" w:rsidP="00DB76CB">
      <w:pPr>
        <w:pBdr>
          <w:top w:val="nil"/>
          <w:left w:val="nil"/>
          <w:bottom w:val="nil"/>
          <w:right w:val="nil"/>
          <w:between w:val="nil"/>
        </w:pBdr>
      </w:pPr>
    </w:p>
    <w:p w14:paraId="38FB2F80" w14:textId="42CAA636" w:rsidR="00DB76CB" w:rsidRPr="00DB76CB" w:rsidRDefault="00DB76CB" w:rsidP="00DB76CB">
      <w:pPr>
        <w:pBdr>
          <w:top w:val="nil"/>
          <w:left w:val="nil"/>
          <w:bottom w:val="nil"/>
          <w:right w:val="nil"/>
          <w:between w:val="nil"/>
        </w:pBdr>
      </w:pPr>
      <w:r w:rsidRPr="00DB76CB">
        <w:t xml:space="preserve">Share the </w:t>
      </w:r>
      <w:r w:rsidRPr="00730998">
        <w:rPr>
          <w:color w:val="419F68" w:themeColor="accent2"/>
        </w:rPr>
        <w:t>[your pro</w:t>
      </w:r>
      <w:r w:rsidR="00E6021D">
        <w:rPr>
          <w:color w:val="419F68" w:themeColor="accent2"/>
        </w:rPr>
        <w:t>ject</w:t>
      </w:r>
      <w:r w:rsidRPr="00730998">
        <w:rPr>
          <w:color w:val="419F68" w:themeColor="accent2"/>
        </w:rPr>
        <w:t xml:space="preserve"> name]</w:t>
      </w:r>
      <w:r w:rsidRPr="00DB76CB">
        <w:t xml:space="preserve"> Customer Hotline number with any customer who wishes to dispute this policy: </w:t>
      </w:r>
      <w:r w:rsidRPr="00201A34">
        <w:rPr>
          <w:color w:val="419F68" w:themeColor="accent2"/>
        </w:rPr>
        <w:t>xxx-xxx-</w:t>
      </w:r>
      <w:proofErr w:type="spellStart"/>
      <w:r w:rsidRPr="00201A34">
        <w:rPr>
          <w:color w:val="419F68" w:themeColor="accent2"/>
        </w:rPr>
        <w:t>xxxx</w:t>
      </w:r>
      <w:proofErr w:type="spellEnd"/>
      <w:r w:rsidR="00730998">
        <w:t>.</w:t>
      </w:r>
    </w:p>
    <w:p w14:paraId="1086439B" w14:textId="77777777" w:rsidR="00C801B2" w:rsidRDefault="00C801B2">
      <w:pPr>
        <w:pBdr>
          <w:top w:val="nil"/>
          <w:left w:val="nil"/>
          <w:bottom w:val="nil"/>
          <w:right w:val="nil"/>
          <w:between w:val="nil"/>
        </w:pBdr>
        <w:jc w:val="center"/>
        <w:rPr>
          <w:rFonts w:ascii="Helvetica Neue" w:hAnsi="Helvetica Neue"/>
          <w:sz w:val="20"/>
          <w:szCs w:val="20"/>
        </w:rPr>
      </w:pPr>
    </w:p>
    <w:p w14:paraId="09DC3CFF" w14:textId="77777777" w:rsidR="00C801B2" w:rsidRDefault="00C801B2">
      <w:pPr>
        <w:pBdr>
          <w:top w:val="nil"/>
          <w:left w:val="nil"/>
          <w:bottom w:val="nil"/>
          <w:right w:val="nil"/>
          <w:between w:val="nil"/>
        </w:pBdr>
        <w:jc w:val="center"/>
        <w:rPr>
          <w:rFonts w:ascii="Helvetica Neue" w:hAnsi="Helvetica Neue"/>
          <w:sz w:val="20"/>
          <w:szCs w:val="20"/>
        </w:rPr>
      </w:pPr>
    </w:p>
    <w:p w14:paraId="611CB224" w14:textId="77777777" w:rsidR="00C801B2" w:rsidRDefault="00C801B2">
      <w:pPr>
        <w:pBdr>
          <w:top w:val="nil"/>
          <w:left w:val="nil"/>
          <w:bottom w:val="nil"/>
          <w:right w:val="nil"/>
          <w:between w:val="nil"/>
        </w:pBdr>
        <w:jc w:val="center"/>
        <w:rPr>
          <w:rFonts w:ascii="Helvetica Neue" w:hAnsi="Helvetica Neue"/>
          <w:sz w:val="20"/>
          <w:szCs w:val="20"/>
        </w:rPr>
      </w:pPr>
    </w:p>
    <w:p w14:paraId="396358A2" w14:textId="77777777" w:rsidR="00C801B2" w:rsidRDefault="00C801B2" w:rsidP="006D42DE">
      <w:pPr>
        <w:pBdr>
          <w:top w:val="nil"/>
          <w:left w:val="nil"/>
          <w:bottom w:val="nil"/>
          <w:right w:val="nil"/>
          <w:between w:val="nil"/>
        </w:pBdr>
        <w:rPr>
          <w:rFonts w:ascii="Helvetica Neue" w:hAnsi="Helvetica Neue"/>
          <w:sz w:val="20"/>
          <w:szCs w:val="20"/>
        </w:rPr>
      </w:pPr>
    </w:p>
    <w:p w14:paraId="3F1AF004" w14:textId="77777777" w:rsidR="00730998" w:rsidRDefault="00730998" w:rsidP="00201A34">
      <w:pPr>
        <w:pBdr>
          <w:top w:val="nil"/>
          <w:left w:val="nil"/>
          <w:bottom w:val="nil"/>
          <w:right w:val="nil"/>
          <w:between w:val="nil"/>
        </w:pBdr>
        <w:rPr>
          <w:rFonts w:ascii="Helvetica Neue" w:hAnsi="Helvetica Neue"/>
          <w:sz w:val="20"/>
          <w:szCs w:val="20"/>
        </w:rPr>
      </w:pPr>
    </w:p>
    <w:p w14:paraId="001B98A8" w14:textId="3B4EBFCE" w:rsidR="00C801B2" w:rsidRDefault="00316780" w:rsidP="006D42DE">
      <w:pPr>
        <w:pBdr>
          <w:top w:val="nil"/>
          <w:left w:val="nil"/>
          <w:bottom w:val="nil"/>
          <w:right w:val="nil"/>
          <w:between w:val="nil"/>
        </w:pBdr>
        <w:jc w:val="center"/>
      </w:pPr>
      <w:r>
        <w:rPr>
          <w:rFonts w:ascii="Helvetica Neue" w:hAnsi="Helvetica Neue"/>
          <w:sz w:val="20"/>
          <w:szCs w:val="20"/>
        </w:rPr>
        <w:t xml:space="preserve">The </w:t>
      </w:r>
      <w:r>
        <w:rPr>
          <w:sz w:val="20"/>
          <w:szCs w:val="20"/>
        </w:rPr>
        <w:t>Nutrition Incentive Program</w:t>
      </w:r>
      <w:r>
        <w:rPr>
          <w:rFonts w:ascii="Helvetica Neue" w:hAnsi="Helvetica Neue"/>
          <w:sz w:val="20"/>
          <w:szCs w:val="20"/>
        </w:rPr>
        <w:t xml:space="preserve"> Training, Technical Assistance, Evaluation, and Information Center (NTAE) is supported by Gus Schumacher Nutrition Incentive Program grant no. 2019-70030-30415/project accession no. 1020863 from the USDA National Institute of Food and Agriculture.</w:t>
      </w:r>
    </w:p>
    <w:sectPr w:rsidR="00C801B2">
      <w:footerReference w:type="even" r:id="rId8"/>
      <w:footerReference w:type="default" r:id="rId9"/>
      <w:headerReference w:type="first" r:id="rId10"/>
      <w:footerReference w:type="first" r:id="rId11"/>
      <w:pgSz w:w="12240" w:h="15840"/>
      <w:pgMar w:top="1440" w:right="1440" w:bottom="1440" w:left="1440" w:header="720" w:footer="86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3DA3E9" w14:textId="77777777" w:rsidR="00BF63E5" w:rsidRDefault="00BF63E5">
      <w:pPr>
        <w:spacing w:line="240" w:lineRule="auto"/>
      </w:pPr>
      <w:r>
        <w:separator/>
      </w:r>
    </w:p>
  </w:endnote>
  <w:endnote w:type="continuationSeparator" w:id="0">
    <w:p w14:paraId="20F199DC" w14:textId="77777777" w:rsidR="00BF63E5" w:rsidRDefault="00BF63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 Neue">
    <w:altName w:val="﷽﷽﷽﷽﷽﷽"/>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00022FF" w:usb1="C000205B" w:usb2="00000009" w:usb3="00000000" w:csb0="000001D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B9F96" w14:textId="77777777" w:rsidR="00C801B2" w:rsidRDefault="00316780">
    <w:pPr>
      <w:pBdr>
        <w:top w:val="nil"/>
        <w:left w:val="nil"/>
        <w:bottom w:val="nil"/>
        <w:right w:val="nil"/>
        <w:between w:val="nil"/>
      </w:pBdr>
      <w:jc w:val="center"/>
      <w:rPr>
        <w:rFonts w:ascii="Helvetica Neue" w:hAnsi="Helvetica Neue"/>
        <w:sz w:val="20"/>
        <w:szCs w:val="20"/>
      </w:rPr>
    </w:pPr>
    <w:r>
      <w:rPr>
        <w:rFonts w:ascii="Helvetica Neue" w:hAnsi="Helvetica Neue"/>
        <w:sz w:val="20"/>
        <w:szCs w:val="20"/>
      </w:rPr>
      <w:fldChar w:fldCharType="begin"/>
    </w:r>
    <w:r>
      <w:rPr>
        <w:rFonts w:ascii="Helvetica Neue" w:hAnsi="Helvetica Neue"/>
        <w:sz w:val="20"/>
        <w:szCs w:val="20"/>
      </w:rPr>
      <w:instrText>PAGE</w:instrText>
    </w:r>
    <w:r w:rsidR="00BF63E5">
      <w:rPr>
        <w:rFonts w:ascii="Helvetica Neue" w:hAnsi="Helvetica Neue"/>
        <w:sz w:val="20"/>
        <w:szCs w:val="20"/>
      </w:rPr>
      <w:fldChar w:fldCharType="separate"/>
    </w:r>
    <w:r>
      <w:rPr>
        <w:rFonts w:ascii="Helvetica Neue" w:hAnsi="Helvetica Neue"/>
        <w:sz w:val="20"/>
        <w:szCs w:val="20"/>
      </w:rPr>
      <w:fldChar w:fldCharType="end"/>
    </w:r>
  </w:p>
  <w:p w14:paraId="5546020D" w14:textId="77777777" w:rsidR="00C801B2" w:rsidRDefault="00C801B2">
    <w:pPr>
      <w:pBdr>
        <w:top w:val="nil"/>
        <w:left w:val="nil"/>
        <w:bottom w:val="nil"/>
        <w:right w:val="nil"/>
        <w:between w:val="nil"/>
      </w:pBdr>
      <w:jc w:val="center"/>
      <w:rPr>
        <w:rFonts w:ascii="Helvetica Neue" w:hAnsi="Helvetica Neue"/>
        <w:sz w:val="20"/>
        <w:szCs w:val="20"/>
      </w:rPr>
    </w:pPr>
  </w:p>
  <w:p w14:paraId="79C98E47" w14:textId="77777777" w:rsidR="00C801B2" w:rsidRDefault="00C801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C1EC0" w14:textId="77777777" w:rsidR="00C801B2" w:rsidRDefault="00C801B2">
    <w:pPr>
      <w:jc w:val="center"/>
    </w:pPr>
  </w:p>
  <w:p w14:paraId="24A4812C" w14:textId="04B40373" w:rsidR="00C801B2" w:rsidRDefault="00316780">
    <w:pPr>
      <w:pBdr>
        <w:top w:val="nil"/>
        <w:left w:val="nil"/>
        <w:bottom w:val="nil"/>
        <w:right w:val="nil"/>
        <w:between w:val="nil"/>
      </w:pBdr>
      <w:jc w:val="center"/>
      <w:rPr>
        <w:rFonts w:ascii="Helvetica Neue" w:hAnsi="Helvetica Neue"/>
        <w:sz w:val="20"/>
        <w:szCs w:val="20"/>
      </w:rPr>
    </w:pPr>
    <w:r>
      <w:rPr>
        <w:rFonts w:ascii="Helvetica Neue" w:hAnsi="Helvetica Neue"/>
        <w:sz w:val="20"/>
        <w:szCs w:val="20"/>
      </w:rPr>
      <w:fldChar w:fldCharType="begin"/>
    </w:r>
    <w:r>
      <w:rPr>
        <w:rFonts w:ascii="Helvetica Neue" w:hAnsi="Helvetica Neue"/>
        <w:sz w:val="20"/>
        <w:szCs w:val="20"/>
      </w:rPr>
      <w:instrText>PAGE</w:instrText>
    </w:r>
    <w:r>
      <w:rPr>
        <w:rFonts w:ascii="Helvetica Neue" w:hAnsi="Helvetica Neue"/>
        <w:sz w:val="20"/>
        <w:szCs w:val="20"/>
      </w:rPr>
      <w:fldChar w:fldCharType="separate"/>
    </w:r>
    <w:r>
      <w:rPr>
        <w:rFonts w:ascii="Helvetica Neue" w:hAnsi="Helvetica Neue"/>
        <w:noProof/>
        <w:sz w:val="20"/>
        <w:szCs w:val="20"/>
      </w:rPr>
      <w:t>2</w:t>
    </w:r>
    <w:r>
      <w:rPr>
        <w:rFonts w:ascii="Helvetica Neue" w:hAnsi="Helvetica Neue"/>
        <w:sz w:val="20"/>
        <w:szCs w:val="20"/>
      </w:rPr>
      <w:fldChar w:fldCharType="end"/>
    </w:r>
  </w:p>
  <w:p w14:paraId="55FC2B28" w14:textId="77777777" w:rsidR="00C801B2" w:rsidRDefault="00316780">
    <w:pPr>
      <w:jc w:val="center"/>
      <w:rPr>
        <w:b/>
        <w:color w:val="5C186A"/>
        <w:sz w:val="20"/>
        <w:szCs w:val="20"/>
      </w:rPr>
    </w:pPr>
    <w:r>
      <w:rPr>
        <w:b/>
        <w:noProof/>
        <w:color w:val="5C186A"/>
        <w:sz w:val="20"/>
        <w:szCs w:val="20"/>
      </w:rPr>
      <mc:AlternateContent>
        <mc:Choice Requires="wpg">
          <w:drawing>
            <wp:inline distT="0" distB="0" distL="0" distR="0" wp14:anchorId="3162A5BC" wp14:editId="307CFBA2">
              <wp:extent cx="1866378" cy="12700"/>
              <wp:effectExtent l="0" t="0" r="0" b="0"/>
              <wp:docPr id="12" name="Straight Arrow Connector 12" title="&quot; &quot;"/>
              <wp:cNvGraphicFramePr/>
              <a:graphic xmlns:a="http://schemas.openxmlformats.org/drawingml/2006/main">
                <a:graphicData uri="http://schemas.microsoft.com/office/word/2010/wordprocessingShape">
                  <wps:wsp>
                    <wps:cNvCnPr/>
                    <wps:spPr>
                      <a:xfrm>
                        <a:off x="4412811" y="3780000"/>
                        <a:ext cx="1866378"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866378" cy="12700"/>
              <wp:effectExtent b="0" l="0" r="0" t="0"/>
              <wp:docPr descr="&quot; &quot;" id="12" name="image5.png"/>
              <a:graphic>
                <a:graphicData uri="http://schemas.openxmlformats.org/drawingml/2006/picture">
                  <pic:pic>
                    <pic:nvPicPr>
                      <pic:cNvPr descr="&quot; &quot;" id="0" name="image5.png"/>
                      <pic:cNvPicPr preferRelativeResize="0"/>
                    </pic:nvPicPr>
                    <pic:blipFill>
                      <a:blip r:embed="rId1"/>
                      <a:srcRect/>
                      <a:stretch>
                        <a:fillRect/>
                      </a:stretch>
                    </pic:blipFill>
                    <pic:spPr>
                      <a:xfrm>
                        <a:off x="0" y="0"/>
                        <a:ext cx="1866378" cy="12700"/>
                      </a:xfrm>
                      <a:prstGeom prst="rect"/>
                      <a:ln/>
                    </pic:spPr>
                  </pic:pic>
                </a:graphicData>
              </a:graphic>
            </wp:inline>
          </w:drawing>
        </mc:Fallback>
      </mc:AlternateContent>
    </w:r>
    <w:r>
      <w:rPr>
        <w:b/>
        <w:color w:val="5C186A"/>
        <w:sz w:val="20"/>
        <w:szCs w:val="20"/>
      </w:rPr>
      <w:t xml:space="preserve"> nutritionincentivehub.org </w:t>
    </w:r>
    <w:r>
      <w:rPr>
        <w:b/>
        <w:noProof/>
        <w:color w:val="5C186A"/>
        <w:sz w:val="20"/>
        <w:szCs w:val="20"/>
      </w:rPr>
      <mc:AlternateContent>
        <mc:Choice Requires="wpg">
          <w:drawing>
            <wp:inline distT="0" distB="0" distL="0" distR="0" wp14:anchorId="45CE43A1" wp14:editId="15053FCC">
              <wp:extent cx="1866378" cy="12700"/>
              <wp:effectExtent l="0" t="0" r="0" b="0"/>
              <wp:docPr id="11" name="Straight Arrow Connector 11" title="&quot; &quot;"/>
              <wp:cNvGraphicFramePr/>
              <a:graphic xmlns:a="http://schemas.openxmlformats.org/drawingml/2006/main">
                <a:graphicData uri="http://schemas.microsoft.com/office/word/2010/wordprocessingShape">
                  <wps:wsp>
                    <wps:cNvCnPr/>
                    <wps:spPr>
                      <a:xfrm>
                        <a:off x="4412811" y="3780000"/>
                        <a:ext cx="1866378"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866378" cy="12700"/>
              <wp:effectExtent b="0" l="0" r="0" t="0"/>
              <wp:docPr descr="&quot; &quot;" id="11" name="image4.png"/>
              <a:graphic>
                <a:graphicData uri="http://schemas.openxmlformats.org/drawingml/2006/picture">
                  <pic:pic>
                    <pic:nvPicPr>
                      <pic:cNvPr descr="&quot; &quot;" id="0" name="image4.png"/>
                      <pic:cNvPicPr preferRelativeResize="0"/>
                    </pic:nvPicPr>
                    <pic:blipFill>
                      <a:blip r:embed="rId2"/>
                      <a:srcRect/>
                      <a:stretch>
                        <a:fillRect/>
                      </a:stretch>
                    </pic:blipFill>
                    <pic:spPr>
                      <a:xfrm>
                        <a:off x="0" y="0"/>
                        <a:ext cx="1866378" cy="12700"/>
                      </a:xfrm>
                      <a:prstGeom prst="rect"/>
                      <a:ln/>
                    </pic:spPr>
                  </pic:pic>
                </a:graphicData>
              </a:graphic>
            </wp:inline>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991E2" w14:textId="77777777" w:rsidR="00C801B2" w:rsidRDefault="00C801B2">
    <w:pPr>
      <w:jc w:val="center"/>
    </w:pPr>
  </w:p>
  <w:p w14:paraId="51FE59A0" w14:textId="77777777" w:rsidR="00C801B2" w:rsidRDefault="00316780">
    <w:pPr>
      <w:pBdr>
        <w:top w:val="nil"/>
        <w:left w:val="nil"/>
        <w:bottom w:val="nil"/>
        <w:right w:val="nil"/>
        <w:between w:val="nil"/>
      </w:pBdr>
      <w:jc w:val="center"/>
      <w:rPr>
        <w:rFonts w:ascii="Helvetica Neue" w:hAnsi="Helvetica Neue"/>
        <w:sz w:val="20"/>
        <w:szCs w:val="20"/>
      </w:rPr>
    </w:pPr>
    <w:r>
      <w:rPr>
        <w:rFonts w:ascii="Helvetica Neue" w:hAnsi="Helvetica Neue"/>
        <w:sz w:val="20"/>
        <w:szCs w:val="20"/>
      </w:rPr>
      <w:fldChar w:fldCharType="begin"/>
    </w:r>
    <w:r>
      <w:rPr>
        <w:rFonts w:ascii="Helvetica Neue" w:hAnsi="Helvetica Neue"/>
        <w:sz w:val="20"/>
        <w:szCs w:val="20"/>
      </w:rPr>
      <w:instrText>PAGE</w:instrText>
    </w:r>
    <w:r>
      <w:rPr>
        <w:rFonts w:ascii="Helvetica Neue" w:hAnsi="Helvetica Neue"/>
        <w:sz w:val="20"/>
        <w:szCs w:val="20"/>
      </w:rPr>
      <w:fldChar w:fldCharType="separate"/>
    </w:r>
    <w:r>
      <w:rPr>
        <w:rFonts w:ascii="Helvetica Neue" w:hAnsi="Helvetica Neue"/>
        <w:noProof/>
        <w:sz w:val="20"/>
        <w:szCs w:val="20"/>
      </w:rPr>
      <w:t>1</w:t>
    </w:r>
    <w:r>
      <w:rPr>
        <w:rFonts w:ascii="Helvetica Neue" w:hAnsi="Helvetica Neue"/>
        <w:sz w:val="20"/>
        <w:szCs w:val="20"/>
      </w:rPr>
      <w:fldChar w:fldCharType="end"/>
    </w:r>
  </w:p>
  <w:p w14:paraId="25C136C1" w14:textId="77777777" w:rsidR="00C801B2" w:rsidRDefault="00316780">
    <w:pPr>
      <w:jc w:val="center"/>
      <w:rPr>
        <w:b/>
        <w:color w:val="5C186A"/>
        <w:sz w:val="20"/>
        <w:szCs w:val="20"/>
      </w:rPr>
    </w:pPr>
    <w:r>
      <w:rPr>
        <w:b/>
        <w:noProof/>
        <w:color w:val="5C186A"/>
        <w:sz w:val="20"/>
        <w:szCs w:val="20"/>
      </w:rPr>
      <mc:AlternateContent>
        <mc:Choice Requires="wpg">
          <w:drawing>
            <wp:inline distT="0" distB="0" distL="0" distR="0" wp14:anchorId="5B4C22CB" wp14:editId="12DFA3EF">
              <wp:extent cx="1866378" cy="12700"/>
              <wp:effectExtent l="0" t="0" r="0" b="0"/>
              <wp:docPr id="10" name="Straight Arrow Connector 10" title="&quot; &quot;"/>
              <wp:cNvGraphicFramePr/>
              <a:graphic xmlns:a="http://schemas.openxmlformats.org/drawingml/2006/main">
                <a:graphicData uri="http://schemas.microsoft.com/office/word/2010/wordprocessingShape">
                  <wps:wsp>
                    <wps:cNvCnPr/>
                    <wps:spPr>
                      <a:xfrm>
                        <a:off x="4412811" y="3780000"/>
                        <a:ext cx="1866378"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866378" cy="12700"/>
              <wp:effectExtent b="0" l="0" r="0" t="0"/>
              <wp:docPr descr="&quot; &quot;" id="10" name="image3.png"/>
              <a:graphic>
                <a:graphicData uri="http://schemas.openxmlformats.org/drawingml/2006/picture">
                  <pic:pic>
                    <pic:nvPicPr>
                      <pic:cNvPr descr="&quot; &quot;" id="0" name="image3.png"/>
                      <pic:cNvPicPr preferRelativeResize="0"/>
                    </pic:nvPicPr>
                    <pic:blipFill>
                      <a:blip r:embed="rId1"/>
                      <a:srcRect/>
                      <a:stretch>
                        <a:fillRect/>
                      </a:stretch>
                    </pic:blipFill>
                    <pic:spPr>
                      <a:xfrm>
                        <a:off x="0" y="0"/>
                        <a:ext cx="1866378" cy="12700"/>
                      </a:xfrm>
                      <a:prstGeom prst="rect"/>
                      <a:ln/>
                    </pic:spPr>
                  </pic:pic>
                </a:graphicData>
              </a:graphic>
            </wp:inline>
          </w:drawing>
        </mc:Fallback>
      </mc:AlternateContent>
    </w:r>
    <w:r>
      <w:rPr>
        <w:b/>
        <w:color w:val="5C186A"/>
        <w:sz w:val="20"/>
        <w:szCs w:val="20"/>
      </w:rPr>
      <w:t xml:space="preserve"> nutritionincentivehub.org </w:t>
    </w:r>
    <w:r>
      <w:rPr>
        <w:b/>
        <w:noProof/>
        <w:color w:val="5C186A"/>
        <w:sz w:val="20"/>
        <w:szCs w:val="20"/>
      </w:rPr>
      <mc:AlternateContent>
        <mc:Choice Requires="wpg">
          <w:drawing>
            <wp:inline distT="0" distB="0" distL="0" distR="0" wp14:anchorId="28A0C7AA" wp14:editId="3B18954E">
              <wp:extent cx="1866378" cy="12700"/>
              <wp:effectExtent l="0" t="0" r="0" b="0"/>
              <wp:docPr id="9" name="Straight Arrow Connector 9" title="&quot; &quot;"/>
              <wp:cNvGraphicFramePr/>
              <a:graphic xmlns:a="http://schemas.openxmlformats.org/drawingml/2006/main">
                <a:graphicData uri="http://schemas.microsoft.com/office/word/2010/wordprocessingShape">
                  <wps:wsp>
                    <wps:cNvCnPr/>
                    <wps:spPr>
                      <a:xfrm>
                        <a:off x="4412811" y="3780000"/>
                        <a:ext cx="1866378"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866378" cy="12700"/>
              <wp:effectExtent b="0" l="0" r="0" t="0"/>
              <wp:docPr descr="&quot; &quot;" id="9" name="image2.png"/>
              <a:graphic>
                <a:graphicData uri="http://schemas.openxmlformats.org/drawingml/2006/picture">
                  <pic:pic>
                    <pic:nvPicPr>
                      <pic:cNvPr descr="&quot; &quot;" id="0" name="image2.png"/>
                      <pic:cNvPicPr preferRelativeResize="0"/>
                    </pic:nvPicPr>
                    <pic:blipFill>
                      <a:blip r:embed="rId2"/>
                      <a:srcRect/>
                      <a:stretch>
                        <a:fillRect/>
                      </a:stretch>
                    </pic:blipFill>
                    <pic:spPr>
                      <a:xfrm>
                        <a:off x="0" y="0"/>
                        <a:ext cx="1866378" cy="12700"/>
                      </a:xfrm>
                      <a:prstGeom prst="rect"/>
                      <a:ln/>
                    </pic:spPr>
                  </pic:pic>
                </a:graphicData>
              </a:graphic>
            </wp:inline>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AA5252" w14:textId="77777777" w:rsidR="00BF63E5" w:rsidRDefault="00BF63E5">
      <w:pPr>
        <w:spacing w:line="240" w:lineRule="auto"/>
      </w:pPr>
      <w:r>
        <w:separator/>
      </w:r>
    </w:p>
  </w:footnote>
  <w:footnote w:type="continuationSeparator" w:id="0">
    <w:p w14:paraId="09E00C24" w14:textId="77777777" w:rsidR="00BF63E5" w:rsidRDefault="00BF63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05397" w14:textId="77777777" w:rsidR="00C801B2" w:rsidRDefault="00316780">
    <w:pPr>
      <w:tabs>
        <w:tab w:val="center" w:pos="4680"/>
        <w:tab w:val="right" w:pos="9360"/>
      </w:tabs>
      <w:rPr>
        <w:rFonts w:ascii="Helvetica Neue" w:hAnsi="Helvetica Neue"/>
      </w:rPr>
    </w:pPr>
    <w:r>
      <w:rPr>
        <w:noProof/>
      </w:rPr>
      <w:drawing>
        <wp:inline distT="0" distB="0" distL="0" distR="0" wp14:anchorId="056D3374" wp14:editId="495BA169">
          <wp:extent cx="2005230" cy="1150983"/>
          <wp:effectExtent l="0" t="0" r="0" b="0"/>
          <wp:docPr id="13" name="image1.png" descr="Nutrition Incentive Hub - Created by GusNIP NTAE Center"/>
          <wp:cNvGraphicFramePr/>
          <a:graphic xmlns:a="http://schemas.openxmlformats.org/drawingml/2006/main">
            <a:graphicData uri="http://schemas.openxmlformats.org/drawingml/2006/picture">
              <pic:pic xmlns:pic="http://schemas.openxmlformats.org/drawingml/2006/picture">
                <pic:nvPicPr>
                  <pic:cNvPr id="0" name="image1.png" descr="Nutrition Incentive Hub - Created by GusNIP NTAE Center"/>
                  <pic:cNvPicPr preferRelativeResize="0"/>
                </pic:nvPicPr>
                <pic:blipFill>
                  <a:blip r:embed="rId1"/>
                  <a:srcRect/>
                  <a:stretch>
                    <a:fillRect/>
                  </a:stretch>
                </pic:blipFill>
                <pic:spPr>
                  <a:xfrm>
                    <a:off x="0" y="0"/>
                    <a:ext cx="2005230" cy="1150983"/>
                  </a:xfrm>
                  <a:prstGeom prst="rect">
                    <a:avLst/>
                  </a:prstGeom>
                  <a:ln/>
                </pic:spPr>
              </pic:pic>
            </a:graphicData>
          </a:graphic>
        </wp:inline>
      </w:drawing>
    </w:r>
  </w:p>
  <w:p w14:paraId="5BB37D34" w14:textId="77777777" w:rsidR="00C801B2" w:rsidRDefault="00C801B2">
    <w:pPr>
      <w:pBdr>
        <w:top w:val="nil"/>
        <w:left w:val="nil"/>
        <w:bottom w:val="nil"/>
        <w:right w:val="nil"/>
        <w:between w:val="nil"/>
      </w:pBdr>
      <w:tabs>
        <w:tab w:val="center" w:pos="4680"/>
        <w:tab w:val="right" w:pos="9360"/>
      </w:tabs>
      <w:rPr>
        <w:rFonts w:ascii="Helvetica Neue" w:hAnsi="Helvetica Neu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F55217"/>
    <w:multiLevelType w:val="multilevel"/>
    <w:tmpl w:val="F97240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31A7FCA"/>
    <w:multiLevelType w:val="multilevel"/>
    <w:tmpl w:val="7012F3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1B2"/>
    <w:rsid w:val="000239D4"/>
    <w:rsid w:val="00083B44"/>
    <w:rsid w:val="000A7FA2"/>
    <w:rsid w:val="00201A34"/>
    <w:rsid w:val="00305893"/>
    <w:rsid w:val="00316780"/>
    <w:rsid w:val="006D42DE"/>
    <w:rsid w:val="00730998"/>
    <w:rsid w:val="007A67C1"/>
    <w:rsid w:val="009428DF"/>
    <w:rsid w:val="009C6A4F"/>
    <w:rsid w:val="009F6DA7"/>
    <w:rsid w:val="00A72956"/>
    <w:rsid w:val="00BF63E5"/>
    <w:rsid w:val="00C801B2"/>
    <w:rsid w:val="00DB76CB"/>
    <w:rsid w:val="00E6021D"/>
    <w:rsid w:val="00E94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4BBD8F"/>
  <w15:docId w15:val="{B4DD58E4-C6C6-D041-8D25-EC9970669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Neue" w:eastAsia="Helvetica Neue" w:hAnsi="Helvetica Neue" w:cs="Helvetica Neue"/>
        <w:color w:val="474C55"/>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0E9"/>
    <w:rPr>
      <w:rFonts w:ascii="Helvetica" w:hAnsi="Helvetica"/>
    </w:rPr>
  </w:style>
  <w:style w:type="paragraph" w:styleId="Heading1">
    <w:name w:val="heading 1"/>
    <w:basedOn w:val="Normal"/>
    <w:next w:val="Normal"/>
    <w:link w:val="Heading1Char"/>
    <w:uiPriority w:val="9"/>
    <w:qFormat/>
    <w:rsid w:val="00DC3396"/>
    <w:pPr>
      <w:keepNext/>
      <w:keepLines/>
      <w:spacing w:before="240" w:after="120"/>
      <w:outlineLvl w:val="0"/>
    </w:pPr>
    <w:rPr>
      <w:rFonts w:eastAsiaTheme="majorEastAsia" w:cstheme="majorBidi"/>
      <w:b/>
      <w:color w:val="5C186A" w:themeColor="text1"/>
      <w:sz w:val="36"/>
      <w:szCs w:val="36"/>
    </w:rPr>
  </w:style>
  <w:style w:type="paragraph" w:styleId="Heading2">
    <w:name w:val="heading 2"/>
    <w:basedOn w:val="Normal"/>
    <w:next w:val="Normal"/>
    <w:link w:val="Heading2Char"/>
    <w:uiPriority w:val="9"/>
    <w:unhideWhenUsed/>
    <w:qFormat/>
    <w:rsid w:val="003A40E9"/>
    <w:pPr>
      <w:keepNext/>
      <w:keepLines/>
      <w:spacing w:before="40"/>
      <w:outlineLvl w:val="1"/>
    </w:pPr>
    <w:rPr>
      <w:rFonts w:eastAsiaTheme="majorEastAsia" w:cstheme="majorBidi"/>
      <w:b/>
      <w:color w:val="419F68" w:themeColor="accent2"/>
      <w:sz w:val="32"/>
      <w:szCs w:val="32"/>
    </w:rPr>
  </w:style>
  <w:style w:type="paragraph" w:styleId="Heading3">
    <w:name w:val="heading 3"/>
    <w:basedOn w:val="BodyText"/>
    <w:next w:val="Normal"/>
    <w:link w:val="Heading3Char"/>
    <w:uiPriority w:val="9"/>
    <w:unhideWhenUsed/>
    <w:qFormat/>
    <w:rsid w:val="003A40E9"/>
    <w:pPr>
      <w:spacing w:before="1" w:line="305" w:lineRule="exact"/>
      <w:jc w:val="both"/>
      <w:outlineLvl w:val="2"/>
    </w:pPr>
    <w:rPr>
      <w:b/>
      <w:color w:val="835CA7" w:themeColor="accent1"/>
      <w:sz w:val="28"/>
      <w:szCs w:val="28"/>
    </w:rPr>
  </w:style>
  <w:style w:type="paragraph" w:styleId="Heading4">
    <w:name w:val="heading 4"/>
    <w:basedOn w:val="BodyText"/>
    <w:next w:val="Normal"/>
    <w:link w:val="Heading4Char"/>
    <w:uiPriority w:val="9"/>
    <w:semiHidden/>
    <w:unhideWhenUsed/>
    <w:qFormat/>
    <w:rsid w:val="00174BC3"/>
    <w:pPr>
      <w:outlineLvl w:val="3"/>
    </w:pPr>
    <w:rPr>
      <w:b/>
      <w:color w:val="5C186A" w:themeColor="text1"/>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C27FF"/>
    <w:pPr>
      <w:tabs>
        <w:tab w:val="center" w:pos="4680"/>
        <w:tab w:val="right" w:pos="9360"/>
      </w:tabs>
    </w:pPr>
  </w:style>
  <w:style w:type="character" w:customStyle="1" w:styleId="HeaderChar">
    <w:name w:val="Header Char"/>
    <w:basedOn w:val="DefaultParagraphFont"/>
    <w:link w:val="Header"/>
    <w:uiPriority w:val="99"/>
    <w:rsid w:val="001C27FF"/>
  </w:style>
  <w:style w:type="paragraph" w:styleId="Footer">
    <w:name w:val="footer"/>
    <w:basedOn w:val="Normal"/>
    <w:link w:val="FooterChar"/>
    <w:uiPriority w:val="99"/>
    <w:unhideWhenUsed/>
    <w:rsid w:val="00DC3396"/>
    <w:pPr>
      <w:jc w:val="center"/>
    </w:pPr>
    <w:rPr>
      <w:sz w:val="20"/>
      <w:szCs w:val="20"/>
    </w:rPr>
  </w:style>
  <w:style w:type="character" w:customStyle="1" w:styleId="FooterChar">
    <w:name w:val="Footer Char"/>
    <w:basedOn w:val="DefaultParagraphFont"/>
    <w:link w:val="Footer"/>
    <w:uiPriority w:val="99"/>
    <w:rsid w:val="00DC3396"/>
    <w:rPr>
      <w:rFonts w:ascii="Helvetica" w:hAnsi="Helvetica"/>
      <w:color w:val="474C55"/>
      <w:sz w:val="20"/>
      <w:szCs w:val="20"/>
    </w:rPr>
  </w:style>
  <w:style w:type="character" w:customStyle="1" w:styleId="Heading1Char">
    <w:name w:val="Heading 1 Char"/>
    <w:basedOn w:val="DefaultParagraphFont"/>
    <w:link w:val="Heading1"/>
    <w:uiPriority w:val="9"/>
    <w:rsid w:val="00DC3396"/>
    <w:rPr>
      <w:rFonts w:ascii="Helvetica" w:eastAsiaTheme="majorEastAsia" w:hAnsi="Helvetica" w:cstheme="majorBidi"/>
      <w:b/>
      <w:color w:val="5C186A" w:themeColor="text1"/>
      <w:sz w:val="36"/>
      <w:szCs w:val="36"/>
    </w:rPr>
  </w:style>
  <w:style w:type="character" w:customStyle="1" w:styleId="Heading2Char">
    <w:name w:val="Heading 2 Char"/>
    <w:basedOn w:val="DefaultParagraphFont"/>
    <w:link w:val="Heading2"/>
    <w:uiPriority w:val="9"/>
    <w:rsid w:val="003A40E9"/>
    <w:rPr>
      <w:rFonts w:ascii="Helvetica" w:eastAsiaTheme="majorEastAsia" w:hAnsi="Helvetica" w:cstheme="majorBidi"/>
      <w:b/>
      <w:color w:val="419F68" w:themeColor="accent2"/>
      <w:sz w:val="32"/>
      <w:szCs w:val="32"/>
    </w:rPr>
  </w:style>
  <w:style w:type="character" w:styleId="Hyperlink">
    <w:name w:val="Hyperlink"/>
    <w:basedOn w:val="DefaultParagraphFont"/>
    <w:uiPriority w:val="99"/>
    <w:unhideWhenUsed/>
    <w:rsid w:val="00DC3396"/>
    <w:rPr>
      <w:color w:val="5C186A" w:themeColor="text1"/>
      <w:u w:val="single"/>
    </w:rPr>
  </w:style>
  <w:style w:type="character" w:styleId="UnresolvedMention">
    <w:name w:val="Unresolved Mention"/>
    <w:basedOn w:val="DefaultParagraphFont"/>
    <w:uiPriority w:val="99"/>
    <w:semiHidden/>
    <w:unhideWhenUsed/>
    <w:rsid w:val="0015768B"/>
    <w:rPr>
      <w:color w:val="605E5C"/>
      <w:shd w:val="clear" w:color="auto" w:fill="E1DFDD"/>
    </w:rPr>
  </w:style>
  <w:style w:type="character" w:styleId="PageNumber">
    <w:name w:val="page number"/>
    <w:basedOn w:val="DefaultParagraphFont"/>
    <w:uiPriority w:val="99"/>
    <w:semiHidden/>
    <w:unhideWhenUsed/>
    <w:rsid w:val="002836D7"/>
  </w:style>
  <w:style w:type="paragraph" w:styleId="BalloonText">
    <w:name w:val="Balloon Text"/>
    <w:basedOn w:val="Normal"/>
    <w:link w:val="BalloonTextChar"/>
    <w:uiPriority w:val="99"/>
    <w:semiHidden/>
    <w:unhideWhenUsed/>
    <w:rsid w:val="0039673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9673E"/>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EB4A91"/>
    <w:rPr>
      <w:sz w:val="16"/>
      <w:szCs w:val="16"/>
    </w:rPr>
  </w:style>
  <w:style w:type="paragraph" w:styleId="CommentText">
    <w:name w:val="annotation text"/>
    <w:basedOn w:val="Normal"/>
    <w:link w:val="CommentTextChar"/>
    <w:uiPriority w:val="99"/>
    <w:semiHidden/>
    <w:unhideWhenUsed/>
    <w:rsid w:val="00EB4A91"/>
    <w:rPr>
      <w:sz w:val="20"/>
      <w:szCs w:val="20"/>
    </w:rPr>
  </w:style>
  <w:style w:type="character" w:customStyle="1" w:styleId="CommentTextChar">
    <w:name w:val="Comment Text Char"/>
    <w:basedOn w:val="DefaultParagraphFont"/>
    <w:link w:val="CommentText"/>
    <w:uiPriority w:val="99"/>
    <w:semiHidden/>
    <w:rsid w:val="00EB4A91"/>
    <w:rPr>
      <w:rFonts w:ascii="Helvetica" w:hAnsi="Helvetica"/>
      <w:sz w:val="20"/>
      <w:szCs w:val="20"/>
    </w:rPr>
  </w:style>
  <w:style w:type="paragraph" w:styleId="CommentSubject">
    <w:name w:val="annotation subject"/>
    <w:basedOn w:val="CommentText"/>
    <w:next w:val="CommentText"/>
    <w:link w:val="CommentSubjectChar"/>
    <w:uiPriority w:val="99"/>
    <w:semiHidden/>
    <w:unhideWhenUsed/>
    <w:rsid w:val="00EB4A91"/>
    <w:rPr>
      <w:b/>
      <w:bCs/>
    </w:rPr>
  </w:style>
  <w:style w:type="character" w:customStyle="1" w:styleId="CommentSubjectChar">
    <w:name w:val="Comment Subject Char"/>
    <w:basedOn w:val="CommentTextChar"/>
    <w:link w:val="CommentSubject"/>
    <w:uiPriority w:val="99"/>
    <w:semiHidden/>
    <w:rsid w:val="00EB4A91"/>
    <w:rPr>
      <w:rFonts w:ascii="Helvetica" w:hAnsi="Helvetica"/>
      <w:b/>
      <w:bCs/>
      <w:sz w:val="20"/>
      <w:szCs w:val="20"/>
    </w:rPr>
  </w:style>
  <w:style w:type="paragraph" w:styleId="BodyText">
    <w:name w:val="Body Text"/>
    <w:basedOn w:val="Normal"/>
    <w:link w:val="BodyTextChar"/>
    <w:uiPriority w:val="1"/>
    <w:qFormat/>
    <w:rsid w:val="003A40E9"/>
  </w:style>
  <w:style w:type="character" w:customStyle="1" w:styleId="BodyTextChar">
    <w:name w:val="Body Text Char"/>
    <w:basedOn w:val="DefaultParagraphFont"/>
    <w:link w:val="BodyText"/>
    <w:uiPriority w:val="1"/>
    <w:rsid w:val="003A40E9"/>
    <w:rPr>
      <w:rFonts w:ascii="Helvetica" w:hAnsi="Helvetica"/>
      <w:color w:val="474C55"/>
    </w:rPr>
  </w:style>
  <w:style w:type="character" w:customStyle="1" w:styleId="Heading3Char">
    <w:name w:val="Heading 3 Char"/>
    <w:basedOn w:val="DefaultParagraphFont"/>
    <w:link w:val="Heading3"/>
    <w:uiPriority w:val="9"/>
    <w:rsid w:val="003A40E9"/>
    <w:rPr>
      <w:rFonts w:ascii="Segoe UI" w:eastAsia="Segoe UI" w:hAnsi="Segoe UI" w:cs="Segoe UI"/>
      <w:b/>
      <w:color w:val="835CA7" w:themeColor="accent1"/>
      <w:sz w:val="28"/>
      <w:szCs w:val="28"/>
    </w:rPr>
  </w:style>
  <w:style w:type="character" w:customStyle="1" w:styleId="Heading4Char">
    <w:name w:val="Heading 4 Char"/>
    <w:basedOn w:val="DefaultParagraphFont"/>
    <w:link w:val="Heading4"/>
    <w:uiPriority w:val="9"/>
    <w:rsid w:val="00174BC3"/>
    <w:rPr>
      <w:rFonts w:ascii="Helvetica" w:hAnsi="Helvetica"/>
      <w:b/>
      <w:color w:val="5C186A" w:themeColor="text1"/>
    </w:rPr>
  </w:style>
  <w:style w:type="character" w:styleId="Strong">
    <w:name w:val="Strong"/>
    <w:uiPriority w:val="22"/>
    <w:qFormat/>
    <w:rsid w:val="00DC3396"/>
    <w:rPr>
      <w:b/>
    </w:rPr>
  </w:style>
  <w:style w:type="character" w:styleId="Emphasis">
    <w:name w:val="Emphasis"/>
    <w:uiPriority w:val="20"/>
    <w:qFormat/>
    <w:rsid w:val="00DC3396"/>
    <w:rPr>
      <w:i/>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Nutrition Incentive Hub">
  <a:themeElements>
    <a:clrScheme name="Nutrition Incentive Hub">
      <a:dk1>
        <a:srgbClr val="5C186A"/>
      </a:dk1>
      <a:lt1>
        <a:srgbClr val="FFFFFF"/>
      </a:lt1>
      <a:dk2>
        <a:srgbClr val="474C55"/>
      </a:dk2>
      <a:lt2>
        <a:srgbClr val="F8F7F0"/>
      </a:lt2>
      <a:accent1>
        <a:srgbClr val="835CA7"/>
      </a:accent1>
      <a:accent2>
        <a:srgbClr val="419F68"/>
      </a:accent2>
      <a:accent3>
        <a:srgbClr val="C6D673"/>
      </a:accent3>
      <a:accent4>
        <a:srgbClr val="A9ABAC"/>
      </a:accent4>
      <a:accent5>
        <a:srgbClr val="96C1D5"/>
      </a:accent5>
      <a:accent6>
        <a:srgbClr val="FCB813"/>
      </a:accent6>
      <a:hlink>
        <a:srgbClr val="5C186A"/>
      </a:hlink>
      <a:folHlink>
        <a:srgbClr val="C7D67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utrition Incentive Hub" id="{78DBCAC6-FC0B-1C4D-B29E-DEC6A4D15E2B}" vid="{85032095-88FA-074B-9024-A6618E160B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IX+hOJb0oo8vq5ynpG0L6/qMA==">AMUW2mWmUCcTQCccxk5p9+o1RjNU/tOM3RHVr7+6usu1haPYPhjGvztU0DrD/+KUTOktxKOpcBOBS7OPssJzyC4atucBvJArSEyLfOthZwOPCdlduoTOCodypGxyMKqhdnq9ziq7FiMU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622</Words>
  <Characters>3548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Schneider</dc:creator>
  <cp:lastModifiedBy>Taylor Kaminsky</cp:lastModifiedBy>
  <cp:revision>3</cp:revision>
  <dcterms:created xsi:type="dcterms:W3CDTF">2021-07-12T17:48:00Z</dcterms:created>
  <dcterms:modified xsi:type="dcterms:W3CDTF">2021-07-12T17:51:00Z</dcterms:modified>
</cp:coreProperties>
</file>